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Remote Work Policy</w:t>
      </w:r>
    </w:p>
    <w:p>
      <w:pPr>
        <w:pStyle w:val="Author"/>
      </w:pPr>
      <w:r>
        <w:t xml:space="preserve">People Operations</w:t>
      </w:r>
    </w:p>
    <w:bookmarkStart w:id="15" w:name="remote-work-policy"/>
    <w:p>
      <w:pPr>
        <w:pStyle w:val="Heading1"/>
      </w:pPr>
      <w:r>
        <w:t xml:space="preserve">Remote Work Policy</w:t>
      </w:r>
    </w:p>
    <w:bookmarkStart w:id="9" w:name="purpose"/>
    <w:p>
      <w:pPr>
        <w:pStyle w:val="Heading2"/>
      </w:pPr>
      <w:r>
        <w:t xml:space="preserve">Purpose</w:t>
      </w:r>
    </w:p>
    <w:p>
      <w:pPr>
        <w:pStyle w:val="FirstParagraph"/>
      </w:pPr>
      <w:r>
        <w:t xml:space="preserve">This policy explains how employees request, review, and maintain a remote or hybrid work arrangement. It is intended for repeat use by managers, people operations, and employees.</w:t>
      </w:r>
    </w:p>
    <w:bookmarkEnd w:id="9"/>
    <w:bookmarkStart w:id="10" w:name="eligibility"/>
    <w:p>
      <w:pPr>
        <w:pStyle w:val="Heading2"/>
      </w:pPr>
      <w:r>
        <w:t xml:space="preserve">Eligibility</w:t>
      </w:r>
    </w:p>
    <w:p>
      <w:pPr>
        <w:pStyle w:val="FirstParagraph"/>
      </w:pPr>
      <w:r>
        <w:t xml:space="preserve">Employees may request remote work when their role can be performed securely away from the office and when team coverage remains clear.</w:t>
      </w:r>
    </w:p>
    <w:bookmarkEnd w:id="10"/>
    <w:bookmarkStart w:id="11" w:name="request-process"/>
    <w:p>
      <w:pPr>
        <w:pStyle w:val="Heading2"/>
      </w:pPr>
      <w:r>
        <w:t xml:space="preserve">Request process</w:t>
      </w:r>
    </w:p>
    <w:p>
      <w:pPr>
        <w:pStyle w:val="Compact"/>
        <w:numPr>
          <w:ilvl w:val="0"/>
          <w:numId w:val="1001"/>
        </w:numPr>
      </w:pPr>
      <w:r>
        <w:t xml:space="preserve">Employee submits the requested schedule and work location.</w:t>
      </w:r>
    </w:p>
    <w:p>
      <w:pPr>
        <w:pStyle w:val="Compact"/>
        <w:numPr>
          <w:ilvl w:val="0"/>
          <w:numId w:val="1001"/>
        </w:numPr>
      </w:pPr>
      <w:r>
        <w:t xml:space="preserve">Manager reviews team coverage and customer commitments.</w:t>
      </w:r>
    </w:p>
    <w:p>
      <w:pPr>
        <w:pStyle w:val="Compact"/>
        <w:numPr>
          <w:ilvl w:val="0"/>
          <w:numId w:val="1001"/>
        </w:numPr>
      </w:pPr>
      <w:r>
        <w:t xml:space="preserve">People operations reviews payroll, tax, and equipment implications.</w:t>
      </w:r>
    </w:p>
    <w:p>
      <w:pPr>
        <w:pStyle w:val="Compact"/>
        <w:numPr>
          <w:ilvl w:val="0"/>
          <w:numId w:val="1001"/>
        </w:numPr>
      </w:pPr>
      <w:r>
        <w:t xml:space="preserve">The approved schedule is recorded in the team handbook.</w:t>
      </w:r>
    </w:p>
    <w:bookmarkEnd w:id="11"/>
    <w:bookmarkStart w:id="12" w:name="approval-matrix"/>
    <w:p>
      <w:pPr>
        <w:pStyle w:val="Heading2"/>
      </w:pPr>
      <w:r>
        <w:t xml:space="preserve">Approval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Request type</w:t>
            </w:r>
          </w:p>
        </w:tc>
        <w:tc>
          <w:tcPr/>
          <w:p>
            <w:pPr>
              <w:pStyle w:val="Compact"/>
            </w:pPr>
            <w:r>
              <w:t xml:space="preserve">Approver</w:t>
            </w:r>
          </w:p>
        </w:tc>
        <w:tc>
          <w:tcPr/>
          <w:p>
            <w:pPr>
              <w:pStyle w:val="Compact"/>
            </w:pPr>
            <w:r>
              <w:t xml:space="preserve">Renewal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Occasional remote day</w:t>
            </w:r>
          </w:p>
        </w:tc>
        <w:tc>
          <w:tcPr/>
          <w:p>
            <w:pPr>
              <w:pStyle w:val="Compact"/>
            </w:pPr>
            <w:r>
              <w:t xml:space="preserve">Team lead</w:t>
            </w:r>
          </w:p>
        </w:tc>
        <w:tc>
          <w:tcPr/>
          <w:p>
            <w:pPr>
              <w:pStyle w:val="Compact"/>
            </w:pPr>
            <w:r>
              <w:t xml:space="preserve">None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Recurring hybrid schedule</w:t>
            </w:r>
          </w:p>
        </w:tc>
        <w:tc>
          <w:tcPr/>
          <w:p>
            <w:pPr>
              <w:pStyle w:val="Compact"/>
            </w:pPr>
            <w:r>
              <w:t xml:space="preserve">Department manager</w:t>
            </w:r>
          </w:p>
        </w:tc>
        <w:tc>
          <w:tcPr/>
          <w:p>
            <w:pPr>
              <w:pStyle w:val="Compact"/>
            </w:pPr>
            <w:r>
              <w:t xml:space="preserve">Quarterly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Out-of-region remote work</w:t>
            </w:r>
          </w:p>
        </w:tc>
        <w:tc>
          <w:tcPr/>
          <w:p>
            <w:pPr>
              <w:pStyle w:val="Compact"/>
            </w:pPr>
            <w:r>
              <w:t xml:space="preserve">People operations</w:t>
            </w:r>
          </w:p>
        </w:tc>
        <w:tc>
          <w:tcPr/>
          <w:p>
            <w:pPr>
              <w:pStyle w:val="Compact"/>
            </w:pPr>
            <w:r>
              <w:t xml:space="preserve">Before travel</w:t>
            </w:r>
          </w:p>
        </w:tc>
      </w:tr>
    </w:tbl>
    <w:bookmarkEnd w:id="12"/>
    <w:bookmarkStart w:id="13" w:name="equipment-and-security"/>
    <w:p>
      <w:pPr>
        <w:pStyle w:val="Heading2"/>
      </w:pPr>
      <w:r>
        <w:t xml:space="preserve">Equipment and security</w:t>
      </w:r>
    </w:p>
    <w:p>
      <w:pPr>
        <w:pStyle w:val="Compact"/>
        <w:numPr>
          <w:ilvl w:val="0"/>
          <w:numId w:val="1002"/>
        </w:numPr>
      </w:pPr>
      <w:r>
        <w:t xml:space="preserve">Employees must use approved devices for company work.</w:t>
      </w:r>
    </w:p>
    <w:p>
      <w:pPr>
        <w:pStyle w:val="Compact"/>
        <w:numPr>
          <w:ilvl w:val="0"/>
          <w:numId w:val="1002"/>
        </w:numPr>
      </w:pPr>
      <w:r>
        <w:t xml:space="preserve">Confidential files must remain in approved systems.</w:t>
      </w:r>
    </w:p>
    <w:p>
      <w:pPr>
        <w:pStyle w:val="Compact"/>
        <w:numPr>
          <w:ilvl w:val="0"/>
          <w:numId w:val="1002"/>
        </w:numPr>
      </w:pPr>
      <w:r>
        <w:t xml:space="preserve">Lost or stolen equipment must be reported the same day.</w:t>
      </w:r>
    </w:p>
    <w:bookmarkEnd w:id="13"/>
    <w:bookmarkStart w:id="14" w:name="exceptions"/>
    <w:p>
      <w:pPr>
        <w:pStyle w:val="Heading2"/>
      </w:pPr>
      <w:r>
        <w:t xml:space="preserve">Exceptions</w:t>
      </w:r>
    </w:p>
    <w:p>
      <w:pPr>
        <w:pStyle w:val="FirstParagraph"/>
      </w:pPr>
      <w:r>
        <w:t xml:space="preserve">Exceptions should be documented with the reason, approval date, and next review date.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Remote Work Policy</dc:title>
  <dc:creator>People Operations</dc:creator>
  <cp:keywords/>
  <dcterms:created xsi:type="dcterms:W3CDTF">2026-07-09T02:24:50Z</dcterms:created>
  <dcterms:modified xsi:type="dcterms:W3CDTF">2026-07-09T02:24:50Z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